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tblCellMar>
          <w:top w:w="0" w:type="dxa"/>
          <w:left w:w="28" w:type="dxa"/>
          <w:bottom w:w="0" w:type="dxa"/>
          <w:right w:w="28" w:type="dxa"/>
        </w:tblCellMar>
      </w:tblPr>
      <w:tblGrid>
        <w:gridCol w:w="2993"/>
        <w:gridCol w:w="77"/>
        <w:gridCol w:w="1155"/>
        <w:gridCol w:w="113"/>
        <w:gridCol w:w="4734"/>
      </w:tblGrid>
      <w:tr>
        <w:trPr>
          <w:cantSplit w:val="true"/>
        </w:trPr>
        <w:tc>
          <w:tcPr>
            <w:tcW w:w="2993" w:type="dxa"/>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t>ΕΛΛΗΝΙΚΗ ΔΗΜΟΚΡΑΤΙΑ</w:t>
            </w:r>
          </w:p>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t>ΝΟΜΟΣ ΑΤΤΙΚΗΣ</w:t>
            </w:r>
          </w:p>
          <w:p>
            <w:pPr>
              <w:pStyle w:val="Normal"/>
              <w:spacing w:lineRule="auto" w:line="240" w:before="0" w:after="0"/>
              <w:rPr>
                <w:rFonts w:ascii="Calibri" w:hAnsi="Calibri" w:eastAsia="Times New Roman" w:cs="Arial"/>
                <w:b/>
                <w:b/>
                <w:caps/>
                <w:sz w:val="22"/>
                <w:szCs w:val="22"/>
                <w:lang w:eastAsia="el-GR"/>
              </w:rPr>
            </w:pPr>
            <w:r>
              <w:rPr>
                <w:rFonts w:eastAsia="Times New Roman" w:cs="Arial" w:ascii="Calibri" w:hAnsi="Calibri"/>
                <w:b/>
                <w:caps/>
                <w:sz w:val="22"/>
                <w:szCs w:val="22"/>
                <w:lang w:eastAsia="el-GR"/>
              </w:rPr>
              <w:t>ΔΗΜΟΣ ΔΙΟΝΥΣΟΥ</w:t>
            </w:r>
          </w:p>
        </w:tc>
        <w:tc>
          <w:tcPr>
            <w:tcW w:w="77"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1155" w:type="dxa"/>
            <w:vMerge w:val="restart"/>
            <w:tcBorders/>
            <w:shd w:fill="FFFFFF" w:val="clear"/>
          </w:tcPr>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ΜΕΛΕΤΗ:</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 xml:space="preserve">     </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ΦΟΡΕΑΣ:</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Προϋπολ:.</w:t>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right"/>
              <w:rPr>
                <w:rFonts w:ascii="Calibri" w:hAnsi="Calibri" w:eastAsia="Times New Roman" w:cs="Arial"/>
                <w:sz w:val="22"/>
                <w:szCs w:val="22"/>
                <w:lang w:eastAsia="el-GR"/>
              </w:rPr>
            </w:pPr>
            <w:r>
              <w:rPr>
                <w:rFonts w:eastAsia="Times New Roman" w:cs="Arial" w:ascii="Calibri" w:hAnsi="Calibri"/>
                <w:sz w:val="22"/>
                <w:szCs w:val="22"/>
                <w:lang w:eastAsia="el-GR"/>
              </w:rPr>
              <w:t>ΑΡ. ΜΕΛ.</w:t>
            </w:r>
          </w:p>
        </w:tc>
        <w:tc>
          <w:tcPr>
            <w:tcW w:w="113" w:type="dxa"/>
            <w:vMerge w:val="restart"/>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4734" w:type="dxa"/>
            <w:vMerge w:val="restart"/>
            <w:tcBorders/>
            <w:shd w:fill="FFFFFF" w:val="clear"/>
          </w:tcPr>
          <w:p>
            <w:pPr>
              <w:pStyle w:val="Normal"/>
              <w:spacing w:lineRule="auto" w:line="240" w:before="0" w:after="0"/>
              <w:rPr>
                <w:rFonts w:ascii="Calibri" w:hAnsi="Calibri" w:eastAsia="Arial-BoldMT" w:cs="Arial"/>
                <w:b/>
                <w:b/>
                <w:bCs/>
                <w:color w:val="000000"/>
                <w:sz w:val="22"/>
                <w:szCs w:val="22"/>
                <w:lang w:eastAsia="el-GR"/>
              </w:rPr>
            </w:pPr>
            <w:r>
              <w:rPr>
                <w:rFonts w:eastAsia="Arial-BoldMT" w:cs="Arial" w:ascii="Calibri" w:hAnsi="Calibri"/>
                <w:b/>
                <w:bCs/>
                <w:color w:val="000000"/>
                <w:sz w:val="22"/>
                <w:szCs w:val="22"/>
                <w:lang w:eastAsia="el-GR"/>
              </w:rPr>
              <w:t>«ΠΡΟΜΗΘΕΙΑ ΕΞΕΔΡΑΣ ΕΚΔΗΛΩΣΕΩΝ ΔΗΜΟΥ ΔΙΟΝΥΣΟΥ»</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sz w:val="22"/>
                <w:szCs w:val="22"/>
                <w:lang w:eastAsia="el-GR"/>
              </w:rPr>
            </w:pPr>
            <w:r>
              <w:rPr>
                <w:rFonts w:eastAsia="Times New Roman" w:cs="Arial" w:ascii="Calibri" w:hAnsi="Calibri"/>
                <w:b/>
                <w:sz w:val="22"/>
                <w:szCs w:val="22"/>
                <w:lang w:eastAsia="el-GR"/>
              </w:rPr>
            </w:r>
          </w:p>
          <w:p>
            <w:pPr>
              <w:pStyle w:val="Normal"/>
              <w:spacing w:lineRule="auto" w:line="240" w:before="0" w:after="0"/>
              <w:rPr>
                <w:rFonts w:ascii="Calibri" w:hAnsi="Calibri" w:eastAsia="Times New Roman" w:cs="Arial"/>
                <w:b/>
                <w:b/>
                <w:sz w:val="22"/>
                <w:szCs w:val="22"/>
                <w:lang w:eastAsia="el-GR"/>
              </w:rPr>
            </w:pPr>
            <w:r>
              <w:rPr>
                <w:rFonts w:eastAsia="Times New Roman" w:cs="Arial" w:ascii="Calibri" w:hAnsi="Calibri"/>
                <w:b/>
                <w:sz w:val="22"/>
                <w:szCs w:val="22"/>
                <w:lang w:eastAsia="el-GR"/>
              </w:rPr>
              <w:t>ΔΗΜΟΣ ΔΙΟΝΥΣΟΥ</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sz w:val="22"/>
                <w:szCs w:val="22"/>
              </w:rPr>
            </w:pPr>
            <w:r>
              <w:rPr>
                <w:rFonts w:eastAsia="Times New Roman" w:cs="Arial" w:ascii="Calibri" w:hAnsi="Calibri"/>
                <w:b/>
                <w:sz w:val="22"/>
                <w:szCs w:val="22"/>
                <w:lang w:eastAsia="el-GR"/>
              </w:rPr>
              <w:t>29.760,00</w:t>
            </w:r>
            <w:r>
              <w:rPr>
                <w:rFonts w:eastAsia="Times New Roman" w:cs="Arial" w:ascii="Calibri" w:hAnsi="Calibri"/>
                <w:b/>
                <w:bCs/>
                <w:sz w:val="22"/>
                <w:szCs w:val="22"/>
                <w:lang w:eastAsia="el-GR"/>
              </w:rPr>
              <w:t xml:space="preserve"> € με ΦΠΑ 24%</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t xml:space="preserve">  </w:t>
            </w:r>
            <w:r>
              <w:rPr>
                <w:rFonts w:eastAsia="Times New Roman" w:cs="Arial" w:ascii="Calibri" w:hAnsi="Calibri"/>
                <w:b/>
                <w:bCs/>
                <w:sz w:val="22"/>
                <w:szCs w:val="22"/>
                <w:lang w:eastAsia="el-GR"/>
              </w:rPr>
              <w:t>21/2018</w:t>
            </w:r>
          </w:p>
        </w:tc>
      </w:tr>
      <w:tr>
        <w:trPr>
          <w:cantSplit w:val="true"/>
        </w:trPr>
        <w:tc>
          <w:tcPr>
            <w:tcW w:w="2993" w:type="dxa"/>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t>Δ/ΝΣΗ ΤΕΧΝΙΚΩΝ ΥΠΗΡΕΣΙΩΝ</w:t>
            </w:r>
          </w:p>
        </w:tc>
        <w:tc>
          <w:tcPr>
            <w:tcW w:w="77"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1155" w:type="dxa"/>
            <w:vMerge w:val="continue"/>
            <w:tcBorders/>
            <w:shd w:fill="FFFFFF" w:val="clear"/>
          </w:tcPr>
          <w:p>
            <w:pPr>
              <w:pStyle w:val="Normal"/>
              <w:spacing w:before="0" w:after="200"/>
              <w:rPr>
                <w:rFonts w:ascii="Calibri" w:hAnsi="Calibri"/>
                <w:sz w:val="22"/>
                <w:szCs w:val="22"/>
              </w:rPr>
            </w:pPr>
            <w:r>
              <w:rPr>
                <w:rFonts w:ascii="Calibri" w:hAnsi="Calibri"/>
                <w:sz w:val="22"/>
                <w:szCs w:val="22"/>
              </w:rPr>
            </w:r>
          </w:p>
        </w:tc>
        <w:tc>
          <w:tcPr>
            <w:tcW w:w="113" w:type="dxa"/>
            <w:vMerge w:val="continue"/>
            <w:tcBorders/>
            <w:shd w:fill="FFFFFF" w:val="clear"/>
            <w:vAlign w:val="center"/>
          </w:tcPr>
          <w:p>
            <w:pPr>
              <w:pStyle w:val="Normal"/>
              <w:spacing w:before="0" w:after="200"/>
              <w:rPr>
                <w:rFonts w:ascii="Calibri" w:hAnsi="Calibri"/>
                <w:sz w:val="22"/>
                <w:szCs w:val="22"/>
              </w:rPr>
            </w:pPr>
            <w:r>
              <w:rPr>
                <w:rFonts w:ascii="Calibri" w:hAnsi="Calibri"/>
                <w:sz w:val="22"/>
                <w:szCs w:val="22"/>
              </w:rPr>
            </w:r>
          </w:p>
        </w:tc>
        <w:tc>
          <w:tcPr>
            <w:tcW w:w="4734" w:type="dxa"/>
            <w:vMerge w:val="continue"/>
            <w:tcBorders/>
            <w:shd w:fill="FFFFFF" w:val="clear"/>
          </w:tcPr>
          <w:p>
            <w:pPr>
              <w:pStyle w:val="Normal"/>
              <w:spacing w:before="0" w:after="200"/>
              <w:rPr>
                <w:rFonts w:ascii="Calibri" w:hAnsi="Calibri"/>
                <w:sz w:val="22"/>
                <w:szCs w:val="22"/>
              </w:rPr>
            </w:pPr>
            <w:r>
              <w:rPr>
                <w:rFonts w:ascii="Calibri" w:hAnsi="Calibri"/>
                <w:sz w:val="22"/>
                <w:szCs w:val="22"/>
              </w:rPr>
            </w:r>
          </w:p>
        </w:tc>
      </w:tr>
      <w:tr>
        <w:trPr>
          <w:cantSplit w:val="true"/>
        </w:trPr>
        <w:tc>
          <w:tcPr>
            <w:tcW w:w="2993" w:type="dxa"/>
            <w:tcBorders/>
            <w:shd w:fill="FFFFFF" w:val="clear"/>
            <w:vAlign w:val="center"/>
          </w:tcPr>
          <w:p>
            <w:pPr>
              <w:pStyle w:val="Normal"/>
              <w:spacing w:lineRule="auto" w:line="240" w:before="0" w:after="0"/>
              <w:rPr>
                <w:rFonts w:ascii="Calibri" w:hAnsi="Calibri" w:eastAsia="Times New Roman" w:cs="Arial"/>
                <w:caps/>
                <w:sz w:val="22"/>
                <w:szCs w:val="22"/>
                <w:lang w:eastAsia="el-GR"/>
              </w:rPr>
            </w:pPr>
            <w:r>
              <w:rPr>
                <w:rFonts w:eastAsia="Times New Roman" w:cs="Arial" w:ascii="Calibri" w:hAnsi="Calibri"/>
                <w:caps/>
                <w:sz w:val="22"/>
                <w:szCs w:val="22"/>
                <w:lang w:eastAsia="el-GR"/>
              </w:rPr>
            </w:r>
          </w:p>
        </w:tc>
        <w:tc>
          <w:tcPr>
            <w:tcW w:w="77" w:type="dxa"/>
            <w:tcBorders/>
            <w:shd w:fill="FFFFFF" w:val="clea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1155" w:type="dxa"/>
            <w:tcBorders/>
            <w:shd w:fill="FFFFFF" w:val="clear"/>
            <w:vAlign w:val="center"/>
          </w:tcPr>
          <w:p>
            <w:pPr>
              <w:pStyle w:val="Normal"/>
              <w:spacing w:lineRule="auto" w:line="240" w:before="0" w:after="0"/>
              <w:jc w:val="center"/>
              <w:rPr>
                <w:rFonts w:ascii="Calibri" w:hAnsi="Calibri" w:eastAsia="Times New Roman" w:cs="Arial"/>
                <w:sz w:val="22"/>
                <w:szCs w:val="22"/>
                <w:lang w:eastAsia="el-GR"/>
              </w:rPr>
            </w:pPr>
            <w:r>
              <w:rPr>
                <w:rFonts w:eastAsia="Times New Roman" w:cs="Arial" w:ascii="Calibri" w:hAnsi="Calibri"/>
                <w:sz w:val="22"/>
                <w:szCs w:val="22"/>
                <w:lang w:eastAsia="el-GR"/>
              </w:rPr>
            </w:r>
          </w:p>
          <w:p>
            <w:pPr>
              <w:pStyle w:val="Normal"/>
              <w:spacing w:lineRule="auto" w:line="240" w:before="0" w:after="0"/>
              <w:jc w:val="center"/>
              <w:rPr>
                <w:rFonts w:ascii="Calibri" w:hAnsi="Calibri"/>
                <w:sz w:val="22"/>
                <w:szCs w:val="22"/>
              </w:rPr>
            </w:pPr>
            <w:r>
              <w:rPr>
                <w:rFonts w:eastAsia="Times New Roman" w:cs="Arial" w:ascii="Calibri" w:hAnsi="Calibri"/>
                <w:sz w:val="22"/>
                <w:szCs w:val="22"/>
                <w:lang w:eastAsia="el-GR"/>
              </w:rPr>
              <w:t xml:space="preserve">     </w:t>
            </w:r>
            <w:bookmarkStart w:id="0" w:name="_GoBack"/>
            <w:bookmarkEnd w:id="0"/>
            <w:r>
              <w:rPr>
                <w:rFonts w:eastAsia="Times New Roman" w:cs="Arial" w:ascii="Calibri" w:hAnsi="Calibri"/>
                <w:sz w:val="22"/>
                <w:szCs w:val="22"/>
                <w:lang w:eastAsia="el-GR"/>
              </w:rPr>
              <w:t>ΧΡΗΣΗ:</w:t>
            </w:r>
          </w:p>
        </w:tc>
        <w:tc>
          <w:tcPr>
            <w:tcW w:w="113" w:type="dxa"/>
            <w:tcBorders/>
            <w:shd w:fill="FFFFFF" w:val="clear"/>
            <w:vAlign w:val="center"/>
          </w:tcPr>
          <w:p>
            <w:pPr>
              <w:pStyle w:val="Normal"/>
              <w:spacing w:lineRule="auto" w:line="240" w:before="0" w:after="0"/>
              <w:rPr>
                <w:rFonts w:ascii="Calibri" w:hAnsi="Calibri" w:eastAsia="Times New Roman" w:cs="Arial"/>
                <w:sz w:val="22"/>
                <w:szCs w:val="22"/>
                <w:lang w:eastAsia="el-GR"/>
              </w:rPr>
            </w:pPr>
            <w:r>
              <w:rPr>
                <w:rFonts w:eastAsia="Times New Roman" w:cs="Arial" w:ascii="Calibri" w:hAnsi="Calibri"/>
                <w:sz w:val="22"/>
                <w:szCs w:val="22"/>
                <w:lang w:eastAsia="el-GR"/>
              </w:rPr>
            </w:r>
          </w:p>
        </w:tc>
        <w:tc>
          <w:tcPr>
            <w:tcW w:w="4734" w:type="dxa"/>
            <w:tcBorders/>
            <w:shd w:fill="FFFFFF" w:val="clear"/>
            <w:vAlign w:val="center"/>
          </w:tcPr>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t xml:space="preserve"> </w:t>
            </w:r>
            <w:r>
              <w:rPr>
                <w:rFonts w:eastAsia="Times New Roman" w:cs="Arial" w:ascii="Calibri" w:hAnsi="Calibri"/>
                <w:b/>
                <w:bCs/>
                <w:sz w:val="22"/>
                <w:szCs w:val="22"/>
                <w:lang w:eastAsia="el-GR"/>
              </w:rPr>
              <w:t>2018</w:t>
            </w:r>
          </w:p>
          <w:p>
            <w:pPr>
              <w:pStyle w:val="Normal"/>
              <w:spacing w:lineRule="auto" w:line="240" w:before="0" w:after="0"/>
              <w:rPr>
                <w:rFonts w:ascii="Calibri" w:hAnsi="Calibri" w:eastAsia="Times New Roman" w:cs="Arial"/>
                <w:b/>
                <w:b/>
                <w:bCs/>
                <w:sz w:val="22"/>
                <w:szCs w:val="22"/>
                <w:lang w:eastAsia="el-GR"/>
              </w:rPr>
            </w:pPr>
            <w:r>
              <w:rPr>
                <w:rFonts w:eastAsia="Times New Roman" w:cs="Arial" w:ascii="Calibri" w:hAnsi="Calibri"/>
                <w:b/>
                <w:bCs/>
                <w:sz w:val="22"/>
                <w:szCs w:val="22"/>
                <w:lang w:eastAsia="el-GR"/>
              </w:rPr>
            </w:r>
          </w:p>
        </w:tc>
      </w:tr>
    </w:tbl>
    <w:p>
      <w:pPr>
        <w:pStyle w:val="Normal"/>
        <w:spacing w:lineRule="auto" w:line="240" w:before="0" w:after="0"/>
        <w:jc w:val="center"/>
        <w:rPr>
          <w:rFonts w:ascii="Calibri" w:hAnsi="Calibri" w:eastAsia="Times New Roman" w:cs="Arial"/>
          <w:b/>
          <w:b/>
          <w:sz w:val="22"/>
          <w:szCs w:val="22"/>
          <w:lang w:eastAsia="el-GR"/>
        </w:rPr>
      </w:pPr>
      <w:r>
        <w:rPr>
          <w:rFonts w:eastAsia="Times New Roman" w:cs="Arial" w:ascii="Calibri" w:hAnsi="Calibri"/>
          <w:b/>
          <w:sz w:val="22"/>
          <w:szCs w:val="22"/>
          <w:lang w:eastAsia="el-GR"/>
        </w:rPr>
      </w:r>
    </w:p>
    <w:p>
      <w:pPr>
        <w:pStyle w:val="Normal"/>
        <w:spacing w:lineRule="auto" w:line="240" w:before="0" w:after="0"/>
        <w:jc w:val="center"/>
        <w:rPr>
          <w:rFonts w:ascii="Calibri" w:hAnsi="Calibri" w:eastAsia="Times New Roman" w:cs="Arial"/>
          <w:b/>
          <w:b/>
          <w:sz w:val="22"/>
          <w:szCs w:val="22"/>
          <w:u w:val="single"/>
          <w:lang w:eastAsia="el-GR"/>
        </w:rPr>
      </w:pPr>
      <w:r>
        <w:rPr>
          <w:rFonts w:eastAsia="Times New Roman" w:cs="Arial" w:ascii="Calibri" w:hAnsi="Calibri"/>
          <w:b/>
          <w:sz w:val="22"/>
          <w:szCs w:val="22"/>
          <w:u w:val="single"/>
          <w:lang w:eastAsia="el-GR"/>
        </w:rPr>
        <w:t>ΕΙΔΙΚΗ ΣΥΓΓΡΑΦΗ ΥΠΟΧΡΕΩΣΕΩΝ</w:t>
      </w:r>
    </w:p>
    <w:p>
      <w:pPr>
        <w:pStyle w:val="Normal"/>
        <w:spacing w:lineRule="auto" w:line="240" w:before="0" w:after="0"/>
        <w:jc w:val="both"/>
        <w:rPr>
          <w:rFonts w:ascii="Calibri" w:hAnsi="Calibri" w:eastAsia="Times New Roman" w:cs="Verdana,Bold"/>
          <w:b/>
          <w:b/>
          <w:bCs/>
          <w:sz w:val="22"/>
          <w:szCs w:val="22"/>
          <w:lang w:eastAsia="el-GR"/>
        </w:rPr>
      </w:pPr>
      <w:r>
        <w:rPr>
          <w:rFonts w:eastAsia="Times New Roman" w:cs="Verdana,Bold" w:ascii="Calibri" w:hAnsi="Calibri"/>
          <w:b/>
          <w:bCs/>
          <w:sz w:val="22"/>
          <w:szCs w:val="22"/>
          <w:lang w:eastAsia="el-GR"/>
        </w:rPr>
      </w:r>
    </w:p>
    <w:p>
      <w:pPr>
        <w:pStyle w:val="Normal"/>
        <w:rPr>
          <w:rFonts w:ascii="Calibri" w:hAnsi="Calibri"/>
          <w:b/>
          <w:b/>
          <w:sz w:val="22"/>
          <w:szCs w:val="22"/>
        </w:rPr>
      </w:pPr>
      <w:r>
        <w:rPr>
          <w:rFonts w:ascii="Calibri" w:hAnsi="Calibri"/>
          <w:b/>
          <w:sz w:val="22"/>
          <w:szCs w:val="22"/>
        </w:rPr>
        <w:t>Άρθρο 1° - Αντικείμενο της προμήθειας</w:t>
      </w:r>
    </w:p>
    <w:p>
      <w:pPr>
        <w:pStyle w:val="Normal"/>
        <w:rPr>
          <w:rFonts w:ascii="Calibri" w:hAnsi="Calibri"/>
          <w:sz w:val="22"/>
          <w:szCs w:val="22"/>
        </w:rPr>
      </w:pPr>
      <w:r>
        <w:rPr>
          <w:rFonts w:ascii="Calibri" w:hAnsi="Calibri"/>
          <w:sz w:val="22"/>
          <w:szCs w:val="22"/>
        </w:rPr>
        <w:t>Η συγγραφή αυτή αφορά στην προμήθεια εξέδρας εκδηλώσεων Δήμου Διονύσου για την κάλυψη των αναγκών των πολιτιστικών εκδηλώσεων του ∆ήµου Διονύσου.</w:t>
      </w:r>
    </w:p>
    <w:p>
      <w:pPr>
        <w:pStyle w:val="Normal"/>
        <w:rPr>
          <w:rFonts w:ascii="Calibri" w:hAnsi="Calibri"/>
          <w:sz w:val="22"/>
          <w:szCs w:val="22"/>
        </w:rPr>
      </w:pPr>
      <w:r>
        <w:rPr>
          <w:rFonts w:ascii="Calibri" w:hAnsi="Calibri"/>
          <w:sz w:val="22"/>
          <w:szCs w:val="22"/>
        </w:rPr>
        <w:t>Αναλυτικά θα γίνει προμήθεια των παρακάτω ειδών:</w:t>
      </w:r>
    </w:p>
    <w:p>
      <w:pPr>
        <w:pStyle w:val="Normal"/>
        <w:rPr>
          <w:rFonts w:ascii="Calibri" w:hAnsi="Calibri"/>
          <w:sz w:val="22"/>
          <w:szCs w:val="22"/>
        </w:rPr>
      </w:pPr>
      <w:r>
        <w:rPr>
          <w:rFonts w:ascii="Calibri" w:hAnsi="Calibri"/>
          <w:sz w:val="22"/>
          <w:szCs w:val="22"/>
        </w:rPr>
        <w:t xml:space="preserve">• </w:t>
      </w:r>
      <w:r>
        <w:rPr>
          <w:rFonts w:ascii="Calibri" w:hAnsi="Calibri"/>
          <w:sz w:val="22"/>
          <w:szCs w:val="22"/>
        </w:rPr>
        <w:t>50 πλαίσια αλουμινίου με φορητά κιγκλιδώματα, διαστάσεων 2μΧ1μ,</w:t>
      </w:r>
    </w:p>
    <w:p>
      <w:pPr>
        <w:pStyle w:val="Normal"/>
        <w:rPr>
          <w:rFonts w:ascii="Calibri" w:hAnsi="Calibri"/>
          <w:sz w:val="22"/>
          <w:szCs w:val="22"/>
        </w:rPr>
      </w:pPr>
      <w:r>
        <w:rPr>
          <w:rFonts w:ascii="Calibri" w:hAnsi="Calibri"/>
          <w:sz w:val="22"/>
          <w:szCs w:val="22"/>
        </w:rPr>
        <w:t xml:space="preserve">• </w:t>
      </w:r>
      <w:r>
        <w:rPr>
          <w:rFonts w:ascii="Calibri" w:hAnsi="Calibri"/>
          <w:sz w:val="22"/>
          <w:szCs w:val="22"/>
        </w:rPr>
        <w:t>200 πόδια αλουμινίου τηλεσκοπικά</w:t>
      </w:r>
    </w:p>
    <w:p>
      <w:pPr>
        <w:pStyle w:val="Normal"/>
        <w:rPr>
          <w:rFonts w:ascii="Calibri" w:hAnsi="Calibri"/>
          <w:sz w:val="22"/>
          <w:szCs w:val="22"/>
        </w:rPr>
      </w:pPr>
      <w:r>
        <w:rPr>
          <w:rFonts w:ascii="Calibri" w:hAnsi="Calibri"/>
          <w:sz w:val="22"/>
          <w:szCs w:val="22"/>
        </w:rPr>
        <w:t xml:space="preserve">• </w:t>
      </w:r>
      <w:r>
        <w:rPr>
          <w:rFonts w:ascii="Calibri" w:hAnsi="Calibri"/>
          <w:sz w:val="22"/>
          <w:szCs w:val="22"/>
        </w:rPr>
        <w:t>1 σκάλα αλουμινίου πτυσσόμενη, με φορητά κιγκλιδώματα</w:t>
      </w:r>
    </w:p>
    <w:p>
      <w:pPr>
        <w:pStyle w:val="Normal"/>
        <w:rPr>
          <w:rFonts w:ascii="Calibri" w:hAnsi="Calibri"/>
          <w:sz w:val="22"/>
          <w:szCs w:val="22"/>
        </w:rPr>
      </w:pPr>
      <w:r>
        <w:rPr>
          <w:rFonts w:ascii="Calibri" w:hAnsi="Calibri"/>
          <w:sz w:val="22"/>
          <w:szCs w:val="22"/>
        </w:rPr>
        <w:t xml:space="preserve">• </w:t>
      </w:r>
      <w:r>
        <w:rPr>
          <w:rFonts w:ascii="Calibri" w:hAnsi="Calibri"/>
          <w:sz w:val="22"/>
          <w:szCs w:val="22"/>
        </w:rPr>
        <w:t>1 ράμπα αλουμινίου πτυσσόμενη, με φορητά κιγκλιδώματα</w:t>
      </w:r>
    </w:p>
    <w:p>
      <w:pPr>
        <w:pStyle w:val="Normal"/>
        <w:rPr>
          <w:rFonts w:ascii="Calibri" w:hAnsi="Calibri"/>
          <w:sz w:val="22"/>
          <w:szCs w:val="22"/>
        </w:rPr>
      </w:pPr>
      <w:r>
        <w:rPr>
          <w:rFonts w:ascii="Calibri" w:hAnsi="Calibri"/>
          <w:sz w:val="22"/>
          <w:szCs w:val="22"/>
        </w:rPr>
        <w:t xml:space="preserve">•  </w:t>
      </w:r>
      <w:r>
        <w:rPr>
          <w:rFonts w:ascii="Calibri" w:hAnsi="Calibri"/>
          <w:sz w:val="22"/>
          <w:szCs w:val="22"/>
        </w:rPr>
        <w:t>βοηθητικά υλικά στερέωσης (γάντζοι και σωλήνες σύνδεσης αλουμινίου, σφικτήρες, διάφορες υποδοχές κ.λ.π.)</w:t>
      </w:r>
    </w:p>
    <w:p>
      <w:pPr>
        <w:pStyle w:val="Normal"/>
        <w:rPr>
          <w:rFonts w:ascii="Calibri" w:hAnsi="Calibri"/>
          <w:b/>
          <w:b/>
          <w:sz w:val="22"/>
          <w:szCs w:val="22"/>
        </w:rPr>
      </w:pPr>
      <w:r>
        <w:rPr>
          <w:rFonts w:ascii="Calibri" w:hAnsi="Calibri"/>
          <w:b/>
          <w:sz w:val="22"/>
          <w:szCs w:val="22"/>
        </w:rPr>
        <w:t>Άρθρο 2° - Διατάξεις που ισχύουν</w:t>
      </w:r>
    </w:p>
    <w:p>
      <w:pPr>
        <w:pStyle w:val="Normal"/>
        <w:rPr>
          <w:rFonts w:ascii="Calibri" w:hAnsi="Calibri"/>
          <w:sz w:val="22"/>
          <w:szCs w:val="22"/>
        </w:rPr>
      </w:pPr>
      <w:r>
        <w:rPr>
          <w:rFonts w:ascii="Calibri" w:hAnsi="Calibri"/>
          <w:sz w:val="22"/>
          <w:szCs w:val="22"/>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pPr>
        <w:pStyle w:val="Normal"/>
        <w:numPr>
          <w:ilvl w:val="0"/>
          <w:numId w:val="1"/>
        </w:numPr>
        <w:jc w:val="both"/>
        <w:rPr>
          <w:rFonts w:ascii="Calibri" w:hAnsi="Calibri"/>
          <w:sz w:val="22"/>
          <w:szCs w:val="22"/>
        </w:rPr>
      </w:pPr>
      <w:r>
        <w:rPr>
          <w:rFonts w:ascii="Calibri" w:hAnsi="Calibri"/>
          <w:sz w:val="22"/>
          <w:szCs w:val="22"/>
        </w:rPr>
        <w:t xml:space="preserve">Του Ν. 3463/2006 «Κύρωση του Κώδικα Δήμων και Κοινοτήτων». </w:t>
      </w:r>
    </w:p>
    <w:p>
      <w:pPr>
        <w:pStyle w:val="Normal"/>
        <w:numPr>
          <w:ilvl w:val="0"/>
          <w:numId w:val="2"/>
        </w:numPr>
        <w:jc w:val="both"/>
        <w:rPr>
          <w:rFonts w:ascii="Calibri" w:hAnsi="Calibri"/>
          <w:sz w:val="22"/>
          <w:szCs w:val="22"/>
        </w:rPr>
      </w:pPr>
      <w:r>
        <w:rPr>
          <w:rFonts w:ascii="Calibri" w:hAnsi="Calibri"/>
          <w:sz w:val="22"/>
          <w:szCs w:val="22"/>
        </w:rPr>
        <w:t xml:space="preserve">Του Ν. 3852/2010 «Νέα αρχιτεκτονική της αυτοδιοίκησης και της αποκεντρωμένης διοίκησης – Πρόγραμμα Καλλικράτης». </w:t>
      </w:r>
    </w:p>
    <w:p>
      <w:pPr>
        <w:pStyle w:val="Normal"/>
        <w:numPr>
          <w:ilvl w:val="0"/>
          <w:numId w:val="2"/>
        </w:numPr>
        <w:jc w:val="both"/>
        <w:rPr>
          <w:rFonts w:ascii="Calibri" w:hAnsi="Calibri"/>
          <w:sz w:val="22"/>
          <w:szCs w:val="22"/>
        </w:rPr>
      </w:pPr>
      <w:r>
        <w:rPr>
          <w:rFonts w:ascii="Calibri" w:hAnsi="Calibri"/>
          <w:sz w:val="22"/>
          <w:szCs w:val="22"/>
        </w:rPr>
        <w:t>Του Ν. 4555/2018, Πρόγραμμα «ΚΛΕΙΣΘΕΝΗΣ Ι» (ΦΕΚ 133/19.7.2018)</w:t>
      </w:r>
    </w:p>
    <w:p>
      <w:pPr>
        <w:pStyle w:val="Normal"/>
        <w:numPr>
          <w:ilvl w:val="0"/>
          <w:numId w:val="2"/>
        </w:numPr>
        <w:jc w:val="both"/>
        <w:rPr>
          <w:rFonts w:ascii="Calibri" w:hAnsi="Calibri"/>
          <w:sz w:val="22"/>
          <w:szCs w:val="22"/>
        </w:rPr>
      </w:pPr>
      <w:r>
        <w:rPr>
          <w:rFonts w:ascii="Calibri" w:hAnsi="Calibri"/>
          <w:sz w:val="22"/>
          <w:szCs w:val="22"/>
        </w:rPr>
        <w:t xml:space="preserve">Του Ν. 2690/1999 «Κύρωση Κώδικα Διοικητικής Διαδικασίας και άλλες διατάξεις». </w:t>
      </w:r>
    </w:p>
    <w:p>
      <w:pPr>
        <w:pStyle w:val="Normal"/>
        <w:numPr>
          <w:ilvl w:val="0"/>
          <w:numId w:val="2"/>
        </w:numPr>
        <w:jc w:val="both"/>
        <w:rPr>
          <w:rFonts w:ascii="Calibri" w:hAnsi="Calibri"/>
          <w:sz w:val="22"/>
          <w:szCs w:val="22"/>
        </w:rPr>
      </w:pPr>
      <w:r>
        <w:rPr>
          <w:rFonts w:ascii="Calibri" w:hAnsi="Calibri"/>
          <w:sz w:val="22"/>
          <w:szCs w:val="22"/>
        </w:rPr>
        <w:t xml:space="preserve">Του N.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pPr>
        <w:pStyle w:val="Normal"/>
        <w:numPr>
          <w:ilvl w:val="0"/>
          <w:numId w:val="2"/>
        </w:numPr>
        <w:jc w:val="both"/>
        <w:rPr>
          <w:rFonts w:ascii="Calibri" w:hAnsi="Calibri"/>
          <w:sz w:val="22"/>
          <w:szCs w:val="22"/>
        </w:rPr>
      </w:pPr>
      <w:r>
        <w:rPr>
          <w:rFonts w:ascii="Calibri" w:hAnsi="Calibri"/>
          <w:sz w:val="22"/>
          <w:szCs w:val="22"/>
        </w:rPr>
        <w:t xml:space="preserve">Του Ν. 3548/2007 «Καταχώρηση δημοσιεύσεων των φορέων του Δημοσίου στο νομαρχιακό και τοπικό Τύπο και άλλες διατάξεις». </w:t>
      </w:r>
    </w:p>
    <w:p>
      <w:pPr>
        <w:pStyle w:val="Normal"/>
        <w:numPr>
          <w:ilvl w:val="0"/>
          <w:numId w:val="2"/>
        </w:numPr>
        <w:jc w:val="both"/>
        <w:rPr>
          <w:rFonts w:ascii="Calibri" w:hAnsi="Calibri"/>
          <w:sz w:val="22"/>
          <w:szCs w:val="22"/>
        </w:rPr>
      </w:pPr>
      <w:r>
        <w:rPr>
          <w:rFonts w:ascii="Calibri" w:hAnsi="Calibri"/>
          <w:sz w:val="22"/>
          <w:szCs w:val="22"/>
        </w:rPr>
        <w:t xml:space="preserve">Του N. 4013/2011 «Σύσταση ενιαίας Ανεξάρτητης Αρχής Δημοσίων Συμβάσεων και Κεντρικού Ηλεκτρονικού Μητρώου Δημοσίων Συμβάσεων». </w:t>
      </w:r>
    </w:p>
    <w:p>
      <w:pPr>
        <w:pStyle w:val="Normal"/>
        <w:numPr>
          <w:ilvl w:val="0"/>
          <w:numId w:val="2"/>
        </w:numPr>
        <w:jc w:val="both"/>
        <w:rPr>
          <w:rFonts w:ascii="Calibri" w:hAnsi="Calibri"/>
          <w:sz w:val="22"/>
          <w:szCs w:val="22"/>
        </w:rPr>
      </w:pPr>
      <w:r>
        <w:rPr>
          <w:rFonts w:ascii="Calibri" w:hAnsi="Calibri"/>
          <w:sz w:val="22"/>
          <w:szCs w:val="22"/>
        </w:rPr>
        <w:t>Του Π.Δ. 80/2016 «Ανάληψη υποχρεώσεων από τους Διατάκτες».</w:t>
      </w:r>
    </w:p>
    <w:p>
      <w:pPr>
        <w:pStyle w:val="Normal"/>
        <w:numPr>
          <w:ilvl w:val="0"/>
          <w:numId w:val="2"/>
        </w:numPr>
        <w:jc w:val="both"/>
        <w:rPr>
          <w:rFonts w:ascii="Calibri" w:hAnsi="Calibri"/>
          <w:sz w:val="22"/>
          <w:szCs w:val="22"/>
        </w:rPr>
      </w:pPr>
      <w:r>
        <w:rPr>
          <w:rFonts w:ascii="Calibri" w:hAnsi="Calibri"/>
          <w:sz w:val="22"/>
          <w:szCs w:val="22"/>
        </w:rPr>
        <w:t xml:space="preserve">Του Ν. 4155/2013 «Εθνικό Σύστημα Ηλεκτρονικών Δημοσίων Συμβάσεων και άλλες Διατάξεις», όπως τροποποιήθηκε με την Υποπαράγραφο ΣΤ 20, του Πρώτου Άρθρου του Ν. 4254/2014 (ΦΕΚ 85/Α΄/7-4-2014) και ισχύει. </w:t>
      </w:r>
    </w:p>
    <w:p>
      <w:pPr>
        <w:pStyle w:val="Normal"/>
        <w:numPr>
          <w:ilvl w:val="0"/>
          <w:numId w:val="2"/>
        </w:numPr>
        <w:jc w:val="both"/>
        <w:rPr>
          <w:rFonts w:ascii="Calibri" w:hAnsi="Calibri"/>
          <w:sz w:val="22"/>
          <w:szCs w:val="22"/>
        </w:rPr>
      </w:pPr>
      <w:r>
        <w:rPr>
          <w:rFonts w:ascii="Calibri" w:hAnsi="Calibri"/>
          <w:sz w:val="22"/>
          <w:szCs w:val="22"/>
        </w:rPr>
        <w:t xml:space="preserve">Της αριθμ. ΥΑΠ/Φ.40.4/3/1031/23-4-2012 Υπουργικής Απόφασης «Ρυθμίσεις για το Ηλεκτρονικό Δημόσιο Έγγραφο». </w:t>
      </w:r>
    </w:p>
    <w:p>
      <w:pPr>
        <w:pStyle w:val="Normal"/>
        <w:numPr>
          <w:ilvl w:val="0"/>
          <w:numId w:val="2"/>
        </w:numPr>
        <w:jc w:val="both"/>
        <w:rPr>
          <w:rFonts w:ascii="Calibri" w:hAnsi="Calibri"/>
          <w:sz w:val="22"/>
          <w:szCs w:val="22"/>
        </w:rPr>
      </w:pPr>
      <w:r>
        <w:rPr>
          <w:rFonts w:ascii="Calibri" w:hAnsi="Calibri"/>
          <w:sz w:val="22"/>
          <w:szCs w:val="22"/>
        </w:rPr>
        <w:t xml:space="preserve">Του Ν. 4270/2014 «Αρχές δημοσιονομικής διαχείρισης και εποπτεία (ενσωμάτωση της Οδηγίας 2011/85/ΕΕ) - δημόσιο λογιστικό και άλλες διατάξεις». </w:t>
      </w:r>
    </w:p>
    <w:p>
      <w:pPr>
        <w:pStyle w:val="Normal"/>
        <w:numPr>
          <w:ilvl w:val="0"/>
          <w:numId w:val="2"/>
        </w:numPr>
        <w:jc w:val="both"/>
        <w:rPr>
          <w:rFonts w:ascii="Calibri" w:hAnsi="Calibri"/>
          <w:sz w:val="22"/>
          <w:szCs w:val="22"/>
        </w:rPr>
      </w:pPr>
      <w:r>
        <w:rPr>
          <w:rFonts w:ascii="Calibri" w:hAnsi="Calibri"/>
          <w:sz w:val="22"/>
          <w:szCs w:val="22"/>
        </w:rPr>
        <w:t xml:space="preserve">Του Ν. 4412/2016 «Δημόσιες Συμβάσεις Έργων, Προμηθειών και Υπηρεσιών (προσαρμογή στις Οδηγίες 2014/24/ΕΕ και 2014/25/ΕΕ)». </w:t>
      </w:r>
    </w:p>
    <w:p>
      <w:pPr>
        <w:pStyle w:val="Normal"/>
        <w:numPr>
          <w:ilvl w:val="0"/>
          <w:numId w:val="2"/>
        </w:numPr>
        <w:jc w:val="both"/>
        <w:rPr>
          <w:rFonts w:ascii="Calibri" w:hAnsi="Calibri"/>
          <w:sz w:val="22"/>
          <w:szCs w:val="22"/>
        </w:rPr>
      </w:pPr>
      <w:r>
        <w:rPr>
          <w:rFonts w:ascii="Calibri" w:hAnsi="Calibri"/>
          <w:sz w:val="22"/>
          <w:szCs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pPr>
        <w:pStyle w:val="Normal"/>
        <w:rPr>
          <w:rFonts w:ascii="Calibri" w:hAnsi="Calibri"/>
          <w:b/>
          <w:b/>
          <w:sz w:val="22"/>
          <w:szCs w:val="22"/>
        </w:rPr>
      </w:pPr>
      <w:r>
        <w:rPr>
          <w:rFonts w:ascii="Calibri" w:hAnsi="Calibri"/>
          <w:b/>
          <w:sz w:val="22"/>
          <w:szCs w:val="22"/>
        </w:rPr>
        <w:t>Άρθρο 3° - Συμβατικά τεύχη</w:t>
      </w:r>
    </w:p>
    <w:p>
      <w:pPr>
        <w:pStyle w:val="Normal"/>
        <w:rPr>
          <w:rFonts w:ascii="Calibri" w:hAnsi="Calibri"/>
          <w:sz w:val="22"/>
          <w:szCs w:val="22"/>
        </w:rPr>
      </w:pPr>
      <w:r>
        <w:rPr>
          <w:rFonts w:ascii="Calibri" w:hAnsi="Calibri"/>
          <w:sz w:val="22"/>
          <w:szCs w:val="22"/>
        </w:rPr>
        <w:t>Συμβατικά τεύχη κατά σειρά ισχύος είναι:</w:t>
      </w:r>
    </w:p>
    <w:p>
      <w:pPr>
        <w:pStyle w:val="Normal"/>
        <w:rPr>
          <w:rFonts w:ascii="Calibri" w:hAnsi="Calibri"/>
          <w:sz w:val="22"/>
          <w:szCs w:val="22"/>
        </w:rPr>
      </w:pPr>
      <w:r>
        <w:rPr>
          <w:rFonts w:ascii="Calibri" w:hAnsi="Calibri"/>
          <w:sz w:val="22"/>
          <w:szCs w:val="22"/>
        </w:rPr>
        <w:t>α) Η διακήρυξη του διαγωνισμού</w:t>
      </w:r>
    </w:p>
    <w:p>
      <w:pPr>
        <w:pStyle w:val="Normal"/>
        <w:rPr>
          <w:rFonts w:ascii="Calibri" w:hAnsi="Calibri"/>
          <w:sz w:val="22"/>
          <w:szCs w:val="22"/>
        </w:rPr>
      </w:pPr>
      <w:r>
        <w:rPr>
          <w:rFonts w:ascii="Calibri" w:hAnsi="Calibri"/>
          <w:sz w:val="22"/>
          <w:szCs w:val="22"/>
        </w:rPr>
        <w:t>β) Η μελέτη της Δ/σης Τ.Υ</w:t>
      </w:r>
    </w:p>
    <w:p>
      <w:pPr>
        <w:pStyle w:val="Normal"/>
        <w:rPr>
          <w:rFonts w:ascii="Calibri" w:hAnsi="Calibri"/>
          <w:sz w:val="22"/>
          <w:szCs w:val="22"/>
        </w:rPr>
      </w:pPr>
      <w:r>
        <w:rPr>
          <w:rFonts w:ascii="Calibri" w:hAnsi="Calibri"/>
          <w:sz w:val="22"/>
          <w:szCs w:val="22"/>
        </w:rPr>
        <w:t>γ) Η ειδική συγγραφή υποχρεώσεων</w:t>
      </w:r>
    </w:p>
    <w:p>
      <w:pPr>
        <w:pStyle w:val="Normal"/>
        <w:rPr>
          <w:rFonts w:ascii="Calibri" w:hAnsi="Calibri"/>
          <w:sz w:val="22"/>
          <w:szCs w:val="22"/>
        </w:rPr>
      </w:pPr>
      <w:r>
        <w:rPr>
          <w:rFonts w:ascii="Calibri" w:hAnsi="Calibri"/>
          <w:sz w:val="22"/>
          <w:szCs w:val="22"/>
        </w:rPr>
        <w:t>δ) Ο προϋπολογισμός προσφοράς του αναδόχου</w:t>
      </w:r>
    </w:p>
    <w:p>
      <w:pPr>
        <w:pStyle w:val="Normal"/>
        <w:rPr>
          <w:rFonts w:ascii="Calibri" w:hAnsi="Calibri"/>
          <w:sz w:val="22"/>
          <w:szCs w:val="22"/>
        </w:rPr>
      </w:pPr>
      <w:r>
        <w:rPr>
          <w:rFonts w:ascii="Calibri" w:hAnsi="Calibri"/>
          <w:sz w:val="22"/>
          <w:szCs w:val="22"/>
        </w:rPr>
        <w:t>ε) Τα τεχνικά στοιχεία (τεχνική περιγραφή) της προσφοράς του αναδόχου.</w:t>
      </w:r>
    </w:p>
    <w:p>
      <w:pPr>
        <w:pStyle w:val="Normal"/>
        <w:rPr>
          <w:rFonts w:ascii="Calibri" w:hAnsi="Calibri"/>
          <w:sz w:val="22"/>
          <w:szCs w:val="22"/>
        </w:rPr>
      </w:pPr>
      <w:r>
        <w:rPr>
          <w:rFonts w:ascii="Calibri" w:hAnsi="Calibri"/>
          <w:sz w:val="22"/>
          <w:szCs w:val="22"/>
        </w:rPr>
      </w:r>
    </w:p>
    <w:p>
      <w:pPr>
        <w:pStyle w:val="Normal"/>
        <w:rPr>
          <w:rFonts w:ascii="Calibri" w:hAnsi="Calibri"/>
          <w:b/>
          <w:b/>
          <w:sz w:val="22"/>
          <w:szCs w:val="22"/>
        </w:rPr>
      </w:pPr>
      <w:r>
        <w:rPr>
          <w:rFonts w:ascii="Calibri" w:hAnsi="Calibri"/>
          <w:b/>
          <w:sz w:val="22"/>
          <w:szCs w:val="22"/>
        </w:rPr>
        <w:t>Άρθρο 4° - Τρόπος εκτέλεσης της προμήθειας</w:t>
      </w:r>
    </w:p>
    <w:p>
      <w:pPr>
        <w:pStyle w:val="Normal"/>
        <w:rPr>
          <w:rFonts w:ascii="Calibri" w:hAnsi="Calibri"/>
          <w:sz w:val="22"/>
          <w:szCs w:val="22"/>
        </w:rPr>
      </w:pPr>
      <w:r>
        <w:rPr>
          <w:rFonts w:ascii="Calibri" w:hAnsi="Calibri"/>
          <w:sz w:val="22"/>
          <w:szCs w:val="22"/>
        </w:rPr>
        <w:t>Η εκτέλεση της προμήθειας αυτής θα πραγματοποιηθεί με συνοπτικό διαγωνισμό, με κριτήριο την χαμηλότερη τιμή προσφοράς με τους όρους που έχει καθορίσει η Οικονομική Επιτροπή.</w:t>
      </w:r>
    </w:p>
    <w:p>
      <w:pPr>
        <w:pStyle w:val="Normal"/>
        <w:rPr>
          <w:rFonts w:ascii="Calibri" w:hAnsi="Calibri"/>
          <w:sz w:val="22"/>
          <w:szCs w:val="22"/>
        </w:rPr>
      </w:pPr>
      <w:r>
        <w:rPr>
          <w:rFonts w:ascii="Calibri" w:hAnsi="Calibri"/>
          <w:b/>
          <w:sz w:val="22"/>
          <w:szCs w:val="22"/>
        </w:rPr>
        <w:t>Άρθρο 5</w:t>
      </w:r>
      <w:r>
        <w:rPr>
          <w:rFonts w:ascii="Calibri" w:hAnsi="Calibri"/>
          <w:b/>
          <w:sz w:val="22"/>
          <w:szCs w:val="22"/>
          <w:vertAlign w:val="superscript"/>
        </w:rPr>
        <w:t>ο</w:t>
      </w:r>
      <w:r>
        <w:rPr>
          <w:rFonts w:ascii="Calibri" w:hAnsi="Calibri"/>
          <w:b/>
          <w:sz w:val="22"/>
          <w:szCs w:val="22"/>
        </w:rPr>
        <w:t xml:space="preserve">  - Σύμβαση</w:t>
      </w:r>
    </w:p>
    <w:p>
      <w:pPr>
        <w:pStyle w:val="Normal"/>
        <w:jc w:val="both"/>
        <w:rPr>
          <w:rFonts w:ascii="Calibri" w:hAnsi="Calibri"/>
          <w:sz w:val="22"/>
          <w:szCs w:val="22"/>
        </w:rPr>
      </w:pPr>
      <w:r>
        <w:rPr>
          <w:rFonts w:ascii="Calibri" w:hAnsi="Calibri"/>
          <w:sz w:val="22"/>
          <w:szCs w:val="22"/>
        </w:rPr>
        <w:t>Ο ανάδοχος της προμήθειας, μετά την κατά νόμο έγκριση του αποτελέσματος αυτής, υποχρεούται να προσέλθει σε ορισμένο τόπο και χρόνο, εντός είκοσι (20) ημερών για να υπογράψει τη σύμβαση και να καταθέσει την κατά το άρθρο 6 της παρούσης, εγγύηση για την καλή εκτέλεση αυτής.</w:t>
      </w:r>
    </w:p>
    <w:p>
      <w:pPr>
        <w:pStyle w:val="Normal"/>
        <w:rPr>
          <w:rFonts w:ascii="Calibri" w:hAnsi="Calibri"/>
          <w:sz w:val="22"/>
          <w:szCs w:val="22"/>
        </w:rPr>
      </w:pPr>
      <w:r>
        <w:rPr>
          <w:rFonts w:ascii="Calibri" w:hAnsi="Calibri"/>
          <w:b/>
          <w:sz w:val="22"/>
          <w:szCs w:val="22"/>
        </w:rPr>
        <w:t>Άρθρο 6</w:t>
      </w:r>
      <w:r>
        <w:rPr>
          <w:rFonts w:ascii="Calibri" w:hAnsi="Calibri"/>
          <w:b/>
          <w:sz w:val="22"/>
          <w:szCs w:val="22"/>
          <w:vertAlign w:val="superscript"/>
        </w:rPr>
        <w:t>ο</w:t>
      </w:r>
      <w:r>
        <w:rPr>
          <w:rFonts w:ascii="Calibri" w:hAnsi="Calibri"/>
          <w:b/>
          <w:sz w:val="22"/>
          <w:szCs w:val="22"/>
        </w:rPr>
        <w:t xml:space="preserve"> – Εγγυήσεις</w:t>
      </w:r>
    </w:p>
    <w:p>
      <w:pPr>
        <w:pStyle w:val="Normal"/>
        <w:rPr>
          <w:rFonts w:ascii="Calibri" w:hAnsi="Calibri"/>
          <w:i/>
          <w:i/>
          <w:sz w:val="22"/>
          <w:szCs w:val="22"/>
        </w:rPr>
      </w:pPr>
      <w:r>
        <w:rPr>
          <w:rFonts w:ascii="Calibri" w:hAnsi="Calibri"/>
          <w:i/>
          <w:sz w:val="22"/>
          <w:szCs w:val="22"/>
        </w:rPr>
        <w:t>Α. Εγγύηση συμμετοχής στην δημοπρασία .</w:t>
      </w:r>
    </w:p>
    <w:p>
      <w:pPr>
        <w:pStyle w:val="Normal"/>
        <w:rPr>
          <w:rFonts w:ascii="Calibri" w:hAnsi="Calibri"/>
          <w:sz w:val="22"/>
          <w:szCs w:val="22"/>
        </w:rPr>
      </w:pPr>
      <w:r>
        <w:rPr>
          <w:rFonts w:ascii="Calibri" w:hAnsi="Calibri"/>
          <w:sz w:val="22"/>
          <w:szCs w:val="22"/>
        </w:rPr>
        <w:t>Σύμφωνα με τις διατάξεις του Ν. 4412/2016, άρθρο 72, δεν απαιτείται εγγύηση συμμετοχής στον συνοπτικό διαγωνισμό.</w:t>
      </w:r>
    </w:p>
    <w:p>
      <w:pPr>
        <w:pStyle w:val="Normal"/>
        <w:rPr>
          <w:rFonts w:ascii="Calibri" w:hAnsi="Calibri"/>
          <w:i/>
          <w:i/>
          <w:sz w:val="22"/>
          <w:szCs w:val="22"/>
        </w:rPr>
      </w:pPr>
      <w:r>
        <w:rPr>
          <w:rFonts w:ascii="Calibri" w:hAnsi="Calibri"/>
          <w:i/>
          <w:sz w:val="22"/>
          <w:szCs w:val="22"/>
        </w:rPr>
        <w:t>Β. Εγγύηση εκτέλεσης της σύμβασης</w:t>
      </w:r>
    </w:p>
    <w:p>
      <w:pPr>
        <w:pStyle w:val="Normal"/>
        <w:spacing w:before="0" w:after="0"/>
        <w:jc w:val="both"/>
        <w:rPr>
          <w:rFonts w:ascii="Calibri" w:hAnsi="Calibri"/>
          <w:sz w:val="22"/>
          <w:szCs w:val="22"/>
        </w:rPr>
      </w:pPr>
      <w:r>
        <w:rPr>
          <w:rFonts w:ascii="Calibri" w:hAnsi="Calibri"/>
          <w:sz w:val="22"/>
          <w:szCs w:val="22"/>
        </w:rPr>
        <w:t>Η εγγύηση καλής εκτέλεσης της σύμβασης καθορίζεται σε 5% επί της αξίας της σύμβασης εκτός Φ.Π.Α. και κατατίθεται πριν ή κατά την υπογραφή της σύμβασης. Όσον αφορά το χρόνο ισχύος της εγγύησης καλής εκτέλεσης, αυτός θα πρέπει να είναι μεγαλύτερος από τον συμβατικό χρόνο παράδοσης κατά ένα (1) μήνα. Η εγγυητική καλής εκτέλεσης επιστρέφεται μετά την οριστική ποσοτική και ποιοτική παραλαβή του συνόλου του αντικειμένου της σύμβασης και ύστερα από την εκκαθάριση των τυχόν απαιτήσεων από τους δύο συμβαλλόμενους.</w:t>
      </w:r>
    </w:p>
    <w:p>
      <w:pPr>
        <w:pStyle w:val="Normal"/>
        <w:spacing w:before="0" w:after="0"/>
        <w:jc w:val="both"/>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b/>
          <w:sz w:val="22"/>
          <w:szCs w:val="22"/>
        </w:rPr>
        <w:t>Άρθρο 7</w:t>
      </w:r>
      <w:r>
        <w:rPr>
          <w:rFonts w:ascii="Calibri" w:hAnsi="Calibri"/>
          <w:b/>
          <w:sz w:val="22"/>
          <w:szCs w:val="22"/>
          <w:vertAlign w:val="superscript"/>
        </w:rPr>
        <w:t>ο</w:t>
      </w:r>
      <w:r>
        <w:rPr>
          <w:rFonts w:ascii="Calibri" w:hAnsi="Calibri"/>
          <w:b/>
          <w:sz w:val="22"/>
          <w:szCs w:val="22"/>
        </w:rPr>
        <w:t xml:space="preserve">  -Τεχνικά χαρακτηριστικά – Προδιαγραφές – Ποιότητα υλικών </w:t>
      </w:r>
    </w:p>
    <w:p>
      <w:pPr>
        <w:pStyle w:val="Normal"/>
        <w:jc w:val="both"/>
        <w:rPr>
          <w:rFonts w:ascii="Calibri" w:hAnsi="Calibri"/>
          <w:sz w:val="22"/>
          <w:szCs w:val="22"/>
        </w:rPr>
      </w:pPr>
      <w:r>
        <w:rPr>
          <w:rFonts w:ascii="Calibri" w:hAnsi="Calibri"/>
          <w:sz w:val="22"/>
          <w:szCs w:val="22"/>
        </w:rPr>
        <w:t>Όλος ο προσφερόμενος εξοπλισμός θα είναι σε καλή κατάσταση, άριστης ποιότητας και σύμφωνα με τις τεχνικές προδιαγραφές και απαιτήσεις της μελέτης και θα πρέπει να πληροί όλες τις σχετικές προδιαγραφές των Ευρωπαϊκών Προτύπων ή των αντίστοιχων προδιαγραφών του ΕΛΟΤ. Για το σκοπό αυτό ο προμηθευτής είναι υποχρεωμένος να προσκομίσει μαζί με την προσφορά του : Α) Όλα τα τεχνικά στοιχεία και εικόνες (prospectus) για τα υπό προμήθεια υλικά. Β) Δήλωση συμμόρφωσης CE του κατασκευαστή και πιστοποιητικά ποιότητας και συμμόρφωσης με τα ισχύοντα πρότυπα που συνοδεύουν τα υπό προμήθεια είδη.</w:t>
      </w:r>
    </w:p>
    <w:p>
      <w:pPr>
        <w:pStyle w:val="Normal"/>
        <w:rPr>
          <w:rFonts w:ascii="Calibri" w:hAnsi="Calibri"/>
          <w:sz w:val="22"/>
          <w:szCs w:val="22"/>
        </w:rPr>
      </w:pPr>
      <w:r>
        <w:rPr>
          <w:rFonts w:ascii="Calibri" w:hAnsi="Calibri"/>
          <w:b/>
          <w:sz w:val="22"/>
          <w:szCs w:val="22"/>
        </w:rPr>
        <w:t>Άρθρο 8</w:t>
      </w:r>
      <w:r>
        <w:rPr>
          <w:rFonts w:ascii="Calibri" w:hAnsi="Calibri"/>
          <w:b/>
          <w:sz w:val="22"/>
          <w:szCs w:val="22"/>
          <w:vertAlign w:val="superscript"/>
        </w:rPr>
        <w:t>ο</w:t>
      </w:r>
      <w:r>
        <w:rPr>
          <w:rFonts w:ascii="Calibri" w:hAnsi="Calibri"/>
          <w:b/>
          <w:sz w:val="22"/>
          <w:szCs w:val="22"/>
        </w:rPr>
        <w:t xml:space="preserve"> - Χρόνος εγγύησης</w:t>
      </w:r>
    </w:p>
    <w:p>
      <w:pPr>
        <w:pStyle w:val="Normal"/>
        <w:jc w:val="both"/>
        <w:rPr>
          <w:rFonts w:ascii="Calibri" w:hAnsi="Calibri"/>
          <w:sz w:val="22"/>
          <w:szCs w:val="22"/>
        </w:rPr>
      </w:pPr>
      <w:r>
        <w:rPr>
          <w:rFonts w:ascii="Calibri" w:hAnsi="Calibri"/>
          <w:sz w:val="22"/>
          <w:szCs w:val="22"/>
        </w:rPr>
        <w:t>Ο χρόνος εγγύησης θα καθοριστεί µε την προσφορά των διαγωνιζομένων και ο οποίος δεν δύναται να είναι μικρότερος των τριών ετών</w:t>
      </w:r>
      <w:r>
        <w:rPr>
          <w:rFonts w:eastAsia="Times New Roman" w:cs="Arial" w:ascii="Calibri" w:hAnsi="Calibri"/>
          <w:sz w:val="22"/>
          <w:szCs w:val="22"/>
          <w:lang w:eastAsia="el-GR"/>
        </w:rPr>
        <w:t xml:space="preserve">. Επίσης, με την προσφορά </w:t>
      </w:r>
      <w:r>
        <w:rPr>
          <w:rFonts w:ascii="Calibri" w:hAnsi="Calibri"/>
          <w:sz w:val="22"/>
          <w:szCs w:val="22"/>
        </w:rPr>
        <w:t>θα καθορίζεται ως ελάχιστη απαιτούμενη εγγύηση διαθεσιμότητας ανταλλακτικών τα δεκαπέντε (15) έτη και ο μέγιστος χρόνος παράδοσης τους ο ένας (1) μήνας.</w:t>
      </w:r>
    </w:p>
    <w:p>
      <w:pPr>
        <w:pStyle w:val="Normal"/>
        <w:rPr>
          <w:rFonts w:ascii="Calibri" w:hAnsi="Calibri"/>
          <w:sz w:val="22"/>
          <w:szCs w:val="22"/>
        </w:rPr>
      </w:pPr>
      <w:r>
        <w:rPr>
          <w:rFonts w:ascii="Calibri" w:hAnsi="Calibri"/>
          <w:b/>
          <w:sz w:val="22"/>
          <w:szCs w:val="22"/>
        </w:rPr>
        <w:t>Άρθρο 9</w:t>
      </w:r>
      <w:r>
        <w:rPr>
          <w:rFonts w:ascii="Calibri" w:hAnsi="Calibri"/>
          <w:b/>
          <w:sz w:val="22"/>
          <w:szCs w:val="22"/>
          <w:vertAlign w:val="superscript"/>
        </w:rPr>
        <w:t>ο</w:t>
      </w:r>
      <w:r>
        <w:rPr>
          <w:rFonts w:ascii="Calibri" w:hAnsi="Calibri"/>
          <w:b/>
          <w:sz w:val="22"/>
          <w:szCs w:val="22"/>
        </w:rPr>
        <w:t xml:space="preserve"> - Έκπτωση του αναδόχου</w:t>
      </w:r>
    </w:p>
    <w:p>
      <w:pPr>
        <w:pStyle w:val="Normal"/>
        <w:jc w:val="both"/>
        <w:rPr>
          <w:rFonts w:ascii="Calibri" w:hAnsi="Calibri"/>
          <w:sz w:val="22"/>
          <w:szCs w:val="22"/>
        </w:rPr>
      </w:pPr>
      <w:r>
        <w:rPr>
          <w:rFonts w:ascii="Calibri" w:hAnsi="Calibri"/>
          <w:sz w:val="22"/>
          <w:szCs w:val="22"/>
        </w:rPr>
        <w:t>Η απόκλιση από τις τεχνικές προδιαγραφές ή χρόνους εγγύησης από τον ανάδοχο µπορούν να τον κηρύξουν έκπτωτο. Εφόσον υπάρξει αδικαιολόγητη υπέρβαση της συμβατικής προθεσμίας εκτέλεσης της προμήθειας ή ο ανάδοχος δεν συμμορφώνεται προς τις κάθε είδους υποχρεώσεις του, µπορεί να κηρυχθεί έκπτωτος µε τις ισχύουσες διατάξεις.</w:t>
      </w:r>
    </w:p>
    <w:p>
      <w:pPr>
        <w:pStyle w:val="Normal"/>
        <w:rPr>
          <w:rFonts w:ascii="Calibri" w:hAnsi="Calibri"/>
          <w:sz w:val="22"/>
          <w:szCs w:val="22"/>
        </w:rPr>
      </w:pPr>
      <w:r>
        <w:rPr>
          <w:rFonts w:ascii="Calibri" w:hAnsi="Calibri"/>
          <w:b/>
          <w:sz w:val="22"/>
          <w:szCs w:val="22"/>
        </w:rPr>
        <w:t>Άρθρο 10</w:t>
      </w:r>
      <w:r>
        <w:rPr>
          <w:rFonts w:ascii="Calibri" w:hAnsi="Calibri"/>
          <w:b/>
          <w:sz w:val="22"/>
          <w:szCs w:val="22"/>
          <w:vertAlign w:val="superscript"/>
        </w:rPr>
        <w:t>ο</w:t>
      </w:r>
      <w:r>
        <w:rPr>
          <w:rFonts w:ascii="Calibri" w:hAnsi="Calibri"/>
          <w:b/>
          <w:sz w:val="22"/>
          <w:szCs w:val="22"/>
        </w:rPr>
        <w:t xml:space="preserve"> - Χρόνος παράδοσης</w:t>
      </w:r>
    </w:p>
    <w:p>
      <w:pPr>
        <w:pStyle w:val="Normal"/>
        <w:jc w:val="both"/>
        <w:rPr>
          <w:rFonts w:ascii="Calibri" w:hAnsi="Calibri"/>
          <w:sz w:val="22"/>
          <w:szCs w:val="22"/>
        </w:rPr>
      </w:pPr>
      <w:r>
        <w:rPr>
          <w:rFonts w:ascii="Calibri" w:hAnsi="Calibri"/>
          <w:sz w:val="22"/>
          <w:szCs w:val="22"/>
        </w:rPr>
        <w:t>Ο χρόνος παράδοσης ορίζεται σε 30 ημέρες.</w:t>
      </w:r>
      <w:r>
        <w:rPr>
          <w:rFonts w:eastAsia="Times New Roman" w:cs="Arial" w:ascii="Calibri" w:hAnsi="Calibri"/>
          <w:sz w:val="22"/>
          <w:szCs w:val="22"/>
          <w:lang w:eastAsia="el-GR"/>
        </w:rPr>
        <w:t xml:space="preserve"> Για την πρώτη συναρμολόγηση εξοπλισμού της εξέδρας απαιτείται επίδειξη με τις συμβουλές των τεχνικών της ανάδοχης εταιρείας προκειμένου να εκπαιδευτούν οι υπάλληλοι του ∆ήμου που θα αναλάβουν την εργασία αυτή. </w:t>
      </w:r>
    </w:p>
    <w:p>
      <w:pPr>
        <w:pStyle w:val="Normal"/>
        <w:rPr>
          <w:rFonts w:ascii="Calibri" w:hAnsi="Calibri"/>
          <w:b/>
          <w:b/>
          <w:sz w:val="22"/>
          <w:szCs w:val="22"/>
        </w:rPr>
      </w:pPr>
      <w:r>
        <w:rPr>
          <w:rFonts w:ascii="Calibri" w:hAnsi="Calibri"/>
          <w:b/>
          <w:sz w:val="22"/>
          <w:szCs w:val="22"/>
        </w:rPr>
        <w:t>Άρθρο 11° - Φόροι, τέλη, κρατήσεις</w:t>
      </w:r>
    </w:p>
    <w:p>
      <w:pPr>
        <w:pStyle w:val="Normal"/>
        <w:rPr>
          <w:rFonts w:ascii="Calibri" w:hAnsi="Calibri"/>
          <w:sz w:val="22"/>
          <w:szCs w:val="22"/>
        </w:rPr>
      </w:pPr>
      <w:r>
        <w:rPr>
          <w:rFonts w:ascii="Calibri" w:hAnsi="Calibri"/>
          <w:sz w:val="22"/>
          <w:szCs w:val="22"/>
        </w:rPr>
        <w:t>Ο ανάδοχος υπόκειται σε όλους τους βάσει των κείμενων διατάξεων φόρους, και κρατήσεις, που θα ισχύουν κατά την ημέρα της διενέργειας του διαγωνισμού. Ο Φ.ΠΑ. βαρύνει τον Δήμο Διονύσου.</w:t>
      </w:r>
    </w:p>
    <w:p>
      <w:pPr>
        <w:pStyle w:val="Normal"/>
        <w:rPr>
          <w:rFonts w:ascii="Calibri" w:hAnsi="Calibri"/>
          <w:b/>
          <w:b/>
          <w:sz w:val="22"/>
          <w:szCs w:val="22"/>
        </w:rPr>
      </w:pPr>
      <w:r>
        <w:rPr>
          <w:rFonts w:ascii="Calibri" w:hAnsi="Calibri"/>
          <w:b/>
          <w:sz w:val="22"/>
          <w:szCs w:val="22"/>
        </w:rPr>
        <w:t>Άρθρο 12° - Προσωρινή και οριστική παραλαβή</w:t>
      </w:r>
    </w:p>
    <w:p>
      <w:pPr>
        <w:pStyle w:val="Normal"/>
        <w:jc w:val="both"/>
        <w:rPr>
          <w:rFonts w:ascii="Calibri" w:hAnsi="Calibri"/>
          <w:sz w:val="22"/>
          <w:szCs w:val="22"/>
        </w:rPr>
      </w:pPr>
      <w:r>
        <w:rPr>
          <w:rFonts w:ascii="Calibri" w:hAnsi="Calibri"/>
          <w:sz w:val="22"/>
          <w:szCs w:val="22"/>
        </w:rPr>
        <w:t xml:space="preserve">Η προσωρινή και οριστική παραλαβή της προμήθειας θα γίνει από την οικεία επιτροπή παρουσία του αναδόχου και αφού έχει γίνει η πρώτη συναρμολόγηση εξοπλισμού εξέδρας. Εάν κατά την παραλαβή των προς προμήθεια ειδών ή κατόπιν της συναρμολόγησης αυτών διαπιστωθεί απόκλιση από τις συμβατικές τεχνικές προδιαγραφές και απαιτούμενες προϋποθέσεις όπως περιγράφονται στην μελέτη της προμήθειας, η επιτροπή παραλαβής μπορεί να προτείνει ή την τέλεια απόρριψη του παραλαμβανομένου είδους ή την αποκατάσταση των κατασκευαστικών ή λειτουργικών ανωμαλιών αυτού. Εφόσον ο ανάδοχος δεν συμμορφωθεί με τις ως άνω προτάσεις της Επιτροπής, εντός της από της ιδίας οριζόμενης προθεσμίας, ο Δήμος Διονύσου δικαιούται να προβεί στην τακτοποίηση αυτών, σε βάρος και για λογαριασμό του αναδόχου και κατά τον προσφορότερο με τις ανάγκες και τα συμφέροντα αυτού τρόπο. Για την κάλυψη των σχετικών δαπανών χρησιμοποιείται η εγγύηση του αναδόχου. </w:t>
      </w:r>
    </w:p>
    <w:p>
      <w:pPr>
        <w:pStyle w:val="Normal"/>
        <w:suppressAutoHyphens w:val="true"/>
        <w:spacing w:lineRule="auto" w:line="240" w:before="120" w:after="0"/>
        <w:ind w:left="567" w:right="360" w:hanging="283"/>
        <w:jc w:val="both"/>
        <w:rPr>
          <w:rFonts w:ascii="Calibri" w:hAnsi="Calibri" w:eastAsia="SimSun" w:cs="Tahoma"/>
          <w:sz w:val="22"/>
          <w:szCs w:val="22"/>
          <w:lang w:eastAsia="zh-CN"/>
        </w:rPr>
      </w:pPr>
      <w:r>
        <w:rPr>
          <w:rFonts w:eastAsia="SimSun" w:cs="Tahoma" w:ascii="Calibri" w:hAnsi="Calibri"/>
          <w:sz w:val="22"/>
          <w:szCs w:val="22"/>
          <w:lang w:eastAsia="zh-CN"/>
        </w:rPr>
        <w:t xml:space="preserve">   </w:t>
      </w:r>
      <w:r>
        <w:rPr>
          <w:rFonts w:eastAsia="SimSun" w:cs="Tahoma" w:ascii="Calibri" w:hAnsi="Calibri"/>
          <w:sz w:val="22"/>
          <w:szCs w:val="22"/>
          <w:lang w:eastAsia="zh-CN"/>
        </w:rPr>
        <w:t>Η ΣΥΝΤΑΞΑΣΑ                                   ΕΛΕΓΧΘΗΚΕ                                                    ΘΕΩΡΗΘΗΚΕ</w:t>
      </w:r>
    </w:p>
    <w:p>
      <w:pPr>
        <w:pStyle w:val="Normal"/>
        <w:suppressAutoHyphens w:val="true"/>
        <w:spacing w:lineRule="auto" w:line="240" w:before="120" w:after="0"/>
        <w:ind w:left="0" w:right="360" w:hanging="0"/>
        <w:jc w:val="both"/>
        <w:rPr>
          <w:rFonts w:ascii="Calibri" w:hAnsi="Calibri" w:eastAsia="SimSun" w:cs="Tahoma"/>
          <w:sz w:val="22"/>
          <w:szCs w:val="22"/>
          <w:lang w:eastAsia="zh-CN"/>
        </w:rPr>
      </w:pPr>
      <w:r>
        <w:rPr>
          <w:rFonts w:eastAsia="SimSun" w:cs="Tahoma" w:ascii="Calibri" w:hAnsi="Calibri"/>
          <w:sz w:val="22"/>
          <w:szCs w:val="22"/>
          <w:lang w:eastAsia="zh-CN"/>
        </w:rPr>
        <w:t xml:space="preserve">            </w:t>
      </w:r>
      <w:r>
        <w:rPr>
          <w:rFonts w:eastAsia="SimSun" w:cs="Tahoma" w:ascii="Calibri" w:hAnsi="Calibri"/>
          <w:sz w:val="22"/>
          <w:szCs w:val="22"/>
          <w:lang w:eastAsia="zh-CN"/>
        </w:rPr>
        <w:t xml:space="preserve">28/ 08  / 2018                               /     / 2018                                             /      / 2018                </w:t>
      </w:r>
    </w:p>
    <w:p>
      <w:pPr>
        <w:pStyle w:val="Normal"/>
        <w:suppressAutoHyphens w:val="true"/>
        <w:spacing w:lineRule="auto" w:line="240" w:before="0" w:after="0"/>
        <w:ind w:left="0" w:right="-625" w:hanging="0"/>
        <w:jc w:val="both"/>
        <w:rPr>
          <w:rFonts w:ascii="Calibri" w:hAnsi="Calibri"/>
          <w:sz w:val="22"/>
          <w:szCs w:val="22"/>
        </w:rPr>
      </w:pPr>
      <w:r>
        <w:rPr>
          <w:rFonts w:eastAsia="SimSun" w:cs="Tahoma" w:ascii="Calibri" w:hAnsi="Calibri"/>
          <w:b/>
          <w:bCs/>
          <w:sz w:val="22"/>
          <w:szCs w:val="22"/>
          <w:lang w:eastAsia="zh-CN"/>
        </w:rPr>
        <w:t xml:space="preserve">                                                    </w:t>
      </w:r>
      <w:r>
        <w:rPr>
          <w:rFonts w:eastAsia="SimSun" w:cs="Tahoma" w:ascii="Calibri" w:hAnsi="Calibri"/>
          <w:b/>
          <w:bCs/>
          <w:sz w:val="22"/>
          <w:szCs w:val="22"/>
          <w:lang w:eastAsia="zh-CN"/>
        </w:rPr>
        <w:t xml:space="preserve">Η  ΠΡΟΪΣΤΑΜΕΝΗ ΤΜΗΜΑΤΟΣ                        Η Δ/ΝΤΡΙΑ TEXNIKΩΝ ΥΠΗΡΕΣΙΩΝ                                        </w:t>
      </w:r>
    </w:p>
    <w:p>
      <w:pPr>
        <w:pStyle w:val="Normal"/>
        <w:suppressAutoHyphens w:val="true"/>
        <w:spacing w:lineRule="auto" w:line="240" w:before="0" w:after="0"/>
        <w:ind w:left="0" w:right="-341" w:hanging="0"/>
        <w:jc w:val="both"/>
        <w:rPr>
          <w:rFonts w:ascii="Calibri" w:hAnsi="Calibri" w:eastAsia="SimSun" w:cs="Tahoma"/>
          <w:b/>
          <w:b/>
          <w:bCs/>
          <w:sz w:val="22"/>
          <w:szCs w:val="22"/>
          <w:lang w:eastAsia="zh-CN"/>
        </w:rPr>
      </w:pPr>
      <w:r>
        <w:rPr>
          <w:rFonts w:eastAsia="SimSun" w:cs="Tahoma" w:ascii="Calibri" w:hAnsi="Calibri"/>
          <w:b/>
          <w:bCs/>
          <w:sz w:val="22"/>
          <w:szCs w:val="22"/>
          <w:lang w:eastAsia="zh-CN"/>
        </w:rPr>
        <w:t xml:space="preserve">      </w:t>
      </w:r>
    </w:p>
    <w:p>
      <w:pPr>
        <w:pStyle w:val="Normal"/>
        <w:suppressAutoHyphens w:val="true"/>
        <w:spacing w:lineRule="auto" w:line="240" w:before="120" w:after="0"/>
        <w:ind w:left="567" w:right="360" w:hanging="283"/>
        <w:jc w:val="both"/>
        <w:rPr>
          <w:rFonts w:ascii="Calibri" w:hAnsi="Calibri" w:eastAsia="SimSun" w:cs="Tahoma"/>
          <w:bCs/>
          <w:sz w:val="22"/>
          <w:szCs w:val="22"/>
          <w:lang w:eastAsia="zh-CN"/>
        </w:rPr>
      </w:pPr>
      <w:r>
        <w:rPr>
          <w:rFonts w:eastAsia="SimSun" w:cs="Tahoma" w:ascii="Calibri" w:hAnsi="Calibri"/>
          <w:bCs/>
          <w:sz w:val="22"/>
          <w:szCs w:val="22"/>
          <w:lang w:eastAsia="zh-CN"/>
        </w:rPr>
        <w:t>ΑΛΕΞΑΝΔΡΑ ΕΞΑΡΧΟΥ                     ΑΓΓΕΛΙΚΗ ΚΟΥΡΟΥΠΑΚΗ                                       ΑΝΝΑ ΑΓΓΕΛΙΝΑ</w:t>
      </w:r>
    </w:p>
    <w:p>
      <w:pPr>
        <w:pStyle w:val="Normal"/>
        <w:suppressAutoHyphens w:val="true"/>
        <w:spacing w:lineRule="auto" w:line="240" w:before="120" w:after="0"/>
        <w:ind w:left="0" w:right="360" w:hanging="0"/>
        <w:jc w:val="both"/>
        <w:rPr>
          <w:rFonts w:ascii="Calibri" w:hAnsi="Calibri" w:eastAsia="SimSun" w:cs="Tahoma"/>
          <w:bCs/>
          <w:sz w:val="22"/>
          <w:szCs w:val="22"/>
          <w:lang w:eastAsia="zh-CN"/>
        </w:rPr>
      </w:pPr>
      <w:r>
        <w:rPr>
          <w:rFonts w:eastAsia="SimSun" w:cs="Tahoma" w:ascii="Calibri" w:hAnsi="Calibri"/>
          <w:bCs/>
          <w:sz w:val="22"/>
          <w:szCs w:val="22"/>
          <w:lang w:eastAsia="zh-CN"/>
        </w:rPr>
        <w:t xml:space="preserve">       </w:t>
      </w:r>
      <w:r>
        <w:rPr>
          <w:rFonts w:eastAsia="SimSun" w:cs="Tahoma" w:ascii="Calibri" w:hAnsi="Calibri"/>
          <w:bCs/>
          <w:sz w:val="22"/>
          <w:szCs w:val="22"/>
          <w:lang w:eastAsia="zh-CN"/>
        </w:rPr>
        <w:t>Πολιτικός  Μηχανικός                    Τοπογράφος Μηχανικός                                        Πολιτικός Μηχανικός</w:t>
      </w:r>
    </w:p>
    <w:p>
      <w:pPr>
        <w:pStyle w:val="Normal"/>
        <w:spacing w:before="0" w:after="200"/>
        <w:jc w:val="both"/>
        <w:rPr>
          <w:rFonts w:ascii="Calibri" w:hAnsi="Calibri"/>
          <w:sz w:val="22"/>
          <w:szCs w:val="22"/>
        </w:rPr>
      </w:pPr>
      <w:r>
        <w:rPr>
          <w:rFonts w:ascii="Calibri" w:hAnsi="Calibri"/>
          <w:sz w:val="22"/>
          <w:szCs w:val="22"/>
        </w:rPr>
      </w:r>
    </w:p>
    <w:sectPr>
      <w:type w:val="nextPage"/>
      <w:pgSz w:w="11906" w:h="16838"/>
      <w:pgMar w:left="1418" w:right="1416"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60"/>
        </w:tabs>
        <w:ind w:left="760" w:hanging="360"/>
      </w:pPr>
      <w:rPr>
        <w:rFonts w:ascii="Symbol" w:hAnsi="Symbol" w:cs="Symbol" w:hint="default"/>
        <w:sz w:val="24"/>
        <w:rFonts w:cs="Symbol"/>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2">
    <w:lvl w:ilvl="0">
      <w:start w:val="1"/>
      <w:numFmt w:val="bullet"/>
      <w:lvlText w:val=""/>
      <w:lvlJc w:val="left"/>
      <w:pPr>
        <w:tabs>
          <w:tab w:val="num" w:pos="760"/>
        </w:tabs>
        <w:ind w:left="760" w:hanging="360"/>
      </w:pPr>
      <w:rPr>
        <w:rFonts w:ascii="Symbol" w:hAnsi="Symbol" w:cs="Symbol" w:hint="default"/>
        <w:sz w:val="24"/>
        <w:rFonts w:cs="Symbol"/>
      </w:r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l-GR" w:eastAsia="en-US" w:bidi="ar-SA"/>
      </w:rPr>
    </w:rPrDefault>
    <w:pPrDefault>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Tahoma"/>
      <w:color w:val="00000A"/>
      <w:sz w:val="22"/>
      <w:szCs w:val="22"/>
      <w:lang w:val="el-GR" w:eastAsia="en-US" w:bidi="ar-SA"/>
    </w:rPr>
  </w:style>
  <w:style w:type="character" w:styleId="DefaultParagraphFont">
    <w:name w:val="Default Paragraph Font"/>
    <w:qFormat/>
    <w:rPr/>
  </w:style>
  <w:style w:type="character" w:styleId="Char">
    <w:name w:val="Κείμενο πλαισίου Char"/>
    <w:basedOn w:val="DefaultParagraphFont"/>
    <w:qFormat/>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Symbol"/>
      <w:sz w:val="24"/>
    </w:rPr>
  </w:style>
  <w:style w:type="character" w:styleId="ListLabel11">
    <w:name w:val="ListLabel 11"/>
    <w:qFormat/>
    <w:rPr>
      <w:rFonts w:cs="Symbol"/>
      <w:sz w:val="24"/>
    </w:rPr>
  </w:style>
  <w:style w:type="paragraph" w:styleId="Style14">
    <w:name w:val="Επικεφαλίδα"/>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Ευρετήριο"/>
    <w:basedOn w:val="Normal"/>
    <w:qFormat/>
    <w:pPr>
      <w:suppressLineNumbers/>
    </w:pPr>
    <w:rPr>
      <w:rFonts w:cs="Mangal"/>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Style19">
    <w:name w:val="Περιεχόμενα πίνακα"/>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650</TotalTime>
  <Application>LibreOffice/5.3.2.2$Windows_x86 LibreOffice_project/6cd4f1ef626f15116896b1d8e1398b56da0d0ee1</Application>
  <Pages>4</Pages>
  <Words>1068</Words>
  <Characters>6261</Characters>
  <CharactersWithSpaces>7725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2018-07-27T09:52:00Z</dcterms:created>
  <dc:creator>user</dc:creator>
  <dc:description/>
  <dc:language>el-GR</dc:language>
  <cp:lastModifiedBy/>
  <cp:lastPrinted>2018-08-28T06:26:00Z</cp:lastPrinted>
  <dcterms:modified xsi:type="dcterms:W3CDTF">2018-10-17T12:32:34Z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